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3D3B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D3BCA" w:rsidRDefault="003D3B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3D3B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92ECA"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Утверждены постановлением  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C2800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811E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692ECA" w:rsidRPr="00692ECA" w:rsidRDefault="00692ECA" w:rsidP="00692ECA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3BCA"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3A"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1E3A"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D3B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определению нормативных затрат на обеспечение функций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сельского поселения </w:t>
      </w:r>
      <w:r w:rsidR="00FC2800" w:rsidRPr="00FC28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r w:rsidR="00811E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документ устанавливает порядок определения нормативных затрат на обеспечение функций администрации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 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закупок товаров, работ, услуг (далее – нормативные затраты).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Нормативные затраты применяются для обоснования объекта и (или) объектов закупки администрации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согласно приложению к настоящим Требованиям к определению нормативных затрат (далее - Правила) определяются в порядке, устанавливаемом администрацией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нормативных затрат Администрация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Для определения нормативных затрат в соответствии с разделами </w:t>
      </w:r>
      <w:r w:rsidRPr="00692E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92E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определения нормативных затрат в соответствии с разделами </w:t>
      </w:r>
      <w:r w:rsidRPr="00692E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92E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Администрация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цены услуг подвижной связи с учетом нормативов, предусмотренных приложением к Правилам;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количества </w:t>
      </w:r>
      <w:r w:rsidRPr="00692E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SIM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-карт;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количества и цены средств подвижной связи с учетом нормативов, предусмотренных приложением к Правилам;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количества и цены планшетных компьютеров, ноутбуков, персональных компьютеров с учетом нормативов, предусмотренных приложением к Правилам;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количества и цены носителей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перечня периодических печатных изданий и справочной литературы;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к) количества и цены транспортных средств;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л) количества и цены мебели;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м) количества и цены канцелярских принадлежностей;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н) количества и цены хозяйственных товаров и принадлежностей;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о) количества и цены материальных запасов для нужд гражданской обороны;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п) иных товаров и услуг.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сельского поселения </w:t>
      </w:r>
      <w:r w:rsidR="00FC2800" w:rsidRP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  </w:t>
      </w:r>
      <w:r w:rsidR="00FC28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Протосевич Е.В.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требованиям к определению нормативных затрат на обеспечение функций сельского поселения </w:t>
      </w:r>
      <w:r w:rsidR="00FC2800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BA4F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3D3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РАВИЛА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определения нормативных затрат на обеспечение функций Администрации сельского поселений </w:t>
      </w:r>
      <w:r w:rsidR="00FC28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Метелинский</w:t>
      </w: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r w:rsidR="00BA4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Затраты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услуги связи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абонентскую плату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45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7650" cy="219075"/>
            <wp:effectExtent l="0" t="0" r="0" b="0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подвижной связи (З</w:t>
      </w:r>
      <w:r w:rsidRPr="00692E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692EC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сеть "Интернет" и услуги интернет-провайдеров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иных услуг связи в сфере информационно-коммуникационных технологий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0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00175" cy="219075"/>
            <wp:effectExtent l="0" t="0" r="0" b="0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8F78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0" t="0" r="0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0" b="0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справочно-правовых систем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и приобретению иного программного обеспечения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услуг, связанных с обеспечением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проведение аттестационных, проверочных и контрольных мероприятий      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19325" cy="438150"/>
            <wp:effectExtent l="0" t="0" r="0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i-го объекта (помещения);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j-го оборудования (устройства).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работ по монтажу (установке), дооборудованию и наладке оборудования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рабочих станций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0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23875" cy="219075"/>
            <wp:effectExtent l="0" t="0" r="0" b="0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Предельное количество рабочих станций по i-й должности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0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1600" cy="219075"/>
            <wp:effectExtent l="0" t="0" r="0" b="0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23875" cy="219075"/>
            <wp:effectExtent l="0" t="0" r="0" b="0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0" t="0" r="0" b="0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сотовых телефонов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сотовых телефонов по i-й должности в соответствии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 муниципальных органов, определенными с учетом нормативов затрат на приобретение средств связи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1 сотового телефона для i-й должности в соответствии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 муниципальных органов, определенными с учетом нормативов затрат на приобретение средств связи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планшетных компьютеров,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ноутбуков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66725" cy="276225"/>
            <wp:effectExtent l="0" t="0" r="0" b="0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52425" cy="276225"/>
            <wp:effectExtent l="0" t="0" r="0" b="0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оборудования по обеспечению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52425" cy="219075"/>
            <wp:effectExtent l="0" t="0" r="0" b="0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мониторов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системных блоков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других запасных частей для вычислительной техники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магнитных и оптических носителей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381000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материальных запасов по обеспечению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Прочие затраты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услуги связи (</w:t>
      </w:r>
      <w:r w:rsidRPr="00692ECA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47725" cy="247650"/>
            <wp:effectExtent l="0" t="0" r="0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почтовой связи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почтового отправления.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специальной связи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транспортные услуги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об оказании услуг перевозки (транспортировки) грузов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аренды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219075"/>
            <wp:effectExtent l="0" t="0" r="0" b="0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</w:t>
      </w:r>
      <w:r w:rsidR="0076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r w:rsidR="0076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разовых услуг пассажирских перевозок при проведении совещания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381000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проезда работника к месту нахождения учебного заведения и обратно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381000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i-мунаправлению;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расходов по договорам об оказании услуг,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0" b="0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проезд к месту командирования и обратно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28825" cy="381000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19075"/>
            <wp:effectExtent l="0" t="0" r="0" b="0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219075"/>
            <wp:effectExtent l="0" t="0" r="0" b="0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найм жилого помещения на период командирования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Затраты на коммунальные услуги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45.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90775" cy="219075"/>
            <wp:effectExtent l="0" t="0" r="0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газоснабжение и иные виды топлива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электроснабжение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381000"/>
            <wp:effectExtent l="0" t="0" r="0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теплоснабжение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38225" cy="219075"/>
            <wp:effectExtent l="0" t="0" r="0" b="0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горячее водоснабжение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холодное водоснабжение и водоотведение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9750" cy="219075"/>
            <wp:effectExtent l="0" t="0" r="0" b="0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внештатных сотрудников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381000"/>
            <wp:effectExtent l="0" t="0" r="0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аренду помещений и оборудования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аренду помещений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381000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S - площадь, установленная в соответствии с решением Совета сельского поселения </w:t>
      </w:r>
      <w:r w:rsidR="00FC2800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Метелинский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F79E2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Pr="000332E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0332EE" w:rsidRPr="000332EE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Pr="000332E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</w:t>
      </w:r>
      <w:r w:rsidR="000332E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 w:rsidR="00FC2800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Метелинский</w:t>
      </w:r>
      <w:r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сельсовет муниципального района </w:t>
      </w:r>
      <w:r w:rsidR="003F79E2"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Дуванский</w:t>
      </w:r>
      <w:r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аренду помещения (зала) для проведения совещания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381000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аренду оборудования для проведения совещания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содержание и техническое обслуживание помещений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81450" cy="219075"/>
            <wp:effectExtent l="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лифтов;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56.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закупку услуг управляющей компании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i-го устройства.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Совета сельского поселения </w:t>
      </w:r>
      <w:r w:rsidR="00FC2800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Метелинский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BA4FB4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Pr="008F7869">
        <w:rPr>
          <w:rFonts w:ascii="Times New Roman" w:eastAsia="Times New Roman" w:hAnsi="Times New Roman" w:cs="Times New Roman"/>
          <w:sz w:val="24"/>
          <w:szCs w:val="24"/>
          <w:lang w:eastAsia="ru-RU"/>
        </w:rPr>
        <w:t>19.0</w:t>
      </w:r>
      <w:r w:rsidR="00033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8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№</w:t>
      </w:r>
      <w:r w:rsidR="008F7869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 w:rsidR="00FC2800"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Метелинский</w:t>
      </w:r>
      <w:r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сельсовет муниципального района </w:t>
      </w:r>
      <w:r w:rsidR="00BA4FB4"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Дуванский</w:t>
      </w:r>
      <w:r w:rsidRPr="00FC28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FC28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692ECA">
        <w:rPr>
          <w:rFonts w:ascii="Times New Roman" w:eastAsia="Times New Roman" w:hAnsi="Times New Roman" w:cs="Times New Roman"/>
          <w:color w:val="0000FF"/>
          <w:sz w:val="24"/>
          <w:szCs w:val="24"/>
        </w:rPr>
        <w:t>Положения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381000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прилегающей территории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обслуживанию и уборке помещения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вывоз твердых бытовых отходов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лифтов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38225" cy="381000"/>
            <wp:effectExtent l="0" t="0" r="0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лифтов i-го типа;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0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65.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0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381000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70.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0" cy="219075"/>
            <wp:effectExtent l="0" t="0" r="0" b="0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 количество i-х датчиков системы газового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 количество i-х установок кондиционирования и элементов систем вентиляции;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76225"/>
            <wp:effectExtent l="0" t="0" r="0" b="0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i-гоизвещателя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количество i-х устройств в составе систем контроля и управления доступом;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00100" cy="219075"/>
            <wp:effectExtent l="0" t="0" r="0" b="0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80.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спецжурналов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приобретаемых i-х спецжурналов;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i-госпецжурнала.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09825" cy="438150"/>
            <wp:effectExtent l="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проведение предрейсового и послерейсового осмотра водителей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водителей;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аттестацию специальных помещений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проведение диспансеризации работников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0" b="0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57325" cy="438150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692EC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33875" cy="381000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87" w:history="1">
        <w:r w:rsidRPr="00692ECA">
          <w:rPr>
            <w:rFonts w:ascii="Times New Roman" w:eastAsia="Times New Roman" w:hAnsi="Times New Roman" w:cs="Times New Roman"/>
            <w:sz w:val="24"/>
            <w:szCs w:val="24"/>
          </w:rPr>
          <w:t>пунктом 3 статьи 9</w:t>
        </w:r>
      </w:hyperlink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труда независимых экспертов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390775" cy="276225"/>
            <wp:effectExtent l="0" t="0" r="0" b="0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90.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85875" cy="219075"/>
            <wp:effectExtent l="0" t="0" r="0" b="0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76225"/>
            <wp:effectExtent l="0" t="0" r="0" b="0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муниципальных органов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76225"/>
            <wp:effectExtent l="0" t="0" r="0" b="0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муниципальных органов 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мебели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систем кондиционирования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1-й системы кондиционирования.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90775" cy="219075"/>
            <wp:effectExtent l="0" t="0" r="0" b="0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бланочной продукции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бланка по i-му тиражу;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хозяйственных товаров и принадлежностей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95475" cy="381000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100.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для нужд гражданской обороны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Затраты на капитальный ремонт муниципального имущества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103.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Затраты на финансовое обеспечение строительства, реконструкции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с элементами реставрации), технического перевооружения объектов капитального строительства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105.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107.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                                                          </w:t>
      </w:r>
      <w:r w:rsidR="00FC2800">
        <w:rPr>
          <w:rFonts w:ascii="Times New Roman" w:eastAsia="Times New Roman" w:hAnsi="Times New Roman" w:cs="Times New Roman"/>
          <w:sz w:val="26"/>
          <w:szCs w:val="26"/>
        </w:rPr>
        <w:t>Протосевич Е.В.</w:t>
      </w:r>
    </w:p>
    <w:p w:rsidR="00692ECA" w:rsidRDefault="0069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92ECA" w:rsidSect="00DC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52" w:rsidRDefault="003F5E52" w:rsidP="00575A1D">
      <w:pPr>
        <w:spacing w:after="0" w:line="240" w:lineRule="auto"/>
      </w:pPr>
      <w:r>
        <w:separator/>
      </w:r>
    </w:p>
  </w:endnote>
  <w:endnote w:type="continuationSeparator" w:id="0">
    <w:p w:rsidR="003F5E52" w:rsidRDefault="003F5E52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52" w:rsidRDefault="003F5E52" w:rsidP="00575A1D">
      <w:pPr>
        <w:spacing w:after="0" w:line="240" w:lineRule="auto"/>
      </w:pPr>
      <w:r>
        <w:separator/>
      </w:r>
    </w:p>
  </w:footnote>
  <w:footnote w:type="continuationSeparator" w:id="0">
    <w:p w:rsidR="003F5E52" w:rsidRDefault="003F5E52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00606"/>
    <w:rsid w:val="00016B0A"/>
    <w:rsid w:val="000332EE"/>
    <w:rsid w:val="00057AD7"/>
    <w:rsid w:val="000A267C"/>
    <w:rsid w:val="000D0CB3"/>
    <w:rsid w:val="000E46AA"/>
    <w:rsid w:val="00131332"/>
    <w:rsid w:val="0015263E"/>
    <w:rsid w:val="00175101"/>
    <w:rsid w:val="00185059"/>
    <w:rsid w:val="0019728D"/>
    <w:rsid w:val="001C3994"/>
    <w:rsid w:val="001C3C97"/>
    <w:rsid w:val="002001D0"/>
    <w:rsid w:val="0020603B"/>
    <w:rsid w:val="00225156"/>
    <w:rsid w:val="0026338C"/>
    <w:rsid w:val="00287F0B"/>
    <w:rsid w:val="002B1E9C"/>
    <w:rsid w:val="0033242A"/>
    <w:rsid w:val="00335E3E"/>
    <w:rsid w:val="003D1E24"/>
    <w:rsid w:val="003D3BCA"/>
    <w:rsid w:val="003D4A92"/>
    <w:rsid w:val="003E17AE"/>
    <w:rsid w:val="003F5E52"/>
    <w:rsid w:val="003F79E2"/>
    <w:rsid w:val="00414469"/>
    <w:rsid w:val="00426034"/>
    <w:rsid w:val="00426756"/>
    <w:rsid w:val="00430D79"/>
    <w:rsid w:val="0046670F"/>
    <w:rsid w:val="00480731"/>
    <w:rsid w:val="004818B8"/>
    <w:rsid w:val="004E6EC7"/>
    <w:rsid w:val="0057548A"/>
    <w:rsid w:val="00575A1D"/>
    <w:rsid w:val="00597DF6"/>
    <w:rsid w:val="005B1333"/>
    <w:rsid w:val="0061363B"/>
    <w:rsid w:val="006166C7"/>
    <w:rsid w:val="0064766C"/>
    <w:rsid w:val="00652F7C"/>
    <w:rsid w:val="0068585E"/>
    <w:rsid w:val="00692ECA"/>
    <w:rsid w:val="006B4FA8"/>
    <w:rsid w:val="0070547F"/>
    <w:rsid w:val="007216BC"/>
    <w:rsid w:val="007603FD"/>
    <w:rsid w:val="007E5EEA"/>
    <w:rsid w:val="00811E3A"/>
    <w:rsid w:val="00865D2B"/>
    <w:rsid w:val="00890D52"/>
    <w:rsid w:val="008E6097"/>
    <w:rsid w:val="008F7869"/>
    <w:rsid w:val="00915F4F"/>
    <w:rsid w:val="00937470"/>
    <w:rsid w:val="00A02BFB"/>
    <w:rsid w:val="00A570E2"/>
    <w:rsid w:val="00A7007A"/>
    <w:rsid w:val="00A84B0C"/>
    <w:rsid w:val="00AA48BF"/>
    <w:rsid w:val="00AA4E13"/>
    <w:rsid w:val="00AD5F95"/>
    <w:rsid w:val="00B13FDD"/>
    <w:rsid w:val="00B8534D"/>
    <w:rsid w:val="00B97648"/>
    <w:rsid w:val="00BA4FB4"/>
    <w:rsid w:val="00BA7A63"/>
    <w:rsid w:val="00BE1F03"/>
    <w:rsid w:val="00C00AC9"/>
    <w:rsid w:val="00C31D78"/>
    <w:rsid w:val="00C51804"/>
    <w:rsid w:val="00C7415A"/>
    <w:rsid w:val="00C753DD"/>
    <w:rsid w:val="00C8163E"/>
    <w:rsid w:val="00CC79B8"/>
    <w:rsid w:val="00D45641"/>
    <w:rsid w:val="00DA06E8"/>
    <w:rsid w:val="00DC2A31"/>
    <w:rsid w:val="00DC57F8"/>
    <w:rsid w:val="00E27974"/>
    <w:rsid w:val="00E561FC"/>
    <w:rsid w:val="00E874ED"/>
    <w:rsid w:val="00E96DCD"/>
    <w:rsid w:val="00EA03F9"/>
    <w:rsid w:val="00F718D1"/>
    <w:rsid w:val="00FC2800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8E5A-EEEC-44BA-B3BD-A103FF95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8"/>
  </w:style>
  <w:style w:type="paragraph" w:styleId="1">
    <w:name w:val="heading 1"/>
    <w:basedOn w:val="a"/>
    <w:next w:val="a"/>
    <w:link w:val="10"/>
    <w:uiPriority w:val="99"/>
    <w:qFormat/>
    <w:rsid w:val="00692E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2E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2EC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2E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92E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92EC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character" w:customStyle="1" w:styleId="10">
    <w:name w:val="Заголовок 1 Знак"/>
    <w:basedOn w:val="a0"/>
    <w:link w:val="1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2EC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92ECA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92EC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ECA"/>
  </w:style>
  <w:style w:type="paragraph" w:styleId="a9">
    <w:name w:val="Body Text"/>
    <w:basedOn w:val="a"/>
    <w:link w:val="aa"/>
    <w:uiPriority w:val="99"/>
    <w:rsid w:val="00692E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2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692ECA"/>
    <w:pPr>
      <w:framePr w:w="4701" w:h="2313" w:hSpace="180" w:wrap="auto" w:vAnchor="text" w:hAnchor="page" w:x="6049" w:y="397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92E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2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692E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92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692E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92ECA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"/>
    <w:link w:val="24"/>
    <w:uiPriority w:val="99"/>
    <w:rsid w:val="00692E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uiPriority w:val="99"/>
    <w:rsid w:val="00692ECA"/>
    <w:rPr>
      <w:color w:val="0000FF"/>
      <w:u w:val="single"/>
    </w:rPr>
  </w:style>
  <w:style w:type="paragraph" w:customStyle="1" w:styleId="ConsPlusNormal">
    <w:name w:val="ConsPlusNormal"/>
    <w:uiPriority w:val="99"/>
    <w:rsid w:val="00692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2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5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image" Target="media/image436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0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hyperlink" Target="consultantplus://offline/ref=01B6F67184E077630D37875A64F05E22E496648113732A3207214A8A3AB6Z2L" TargetMode="External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45" Type="http://schemas.openxmlformats.org/officeDocument/2006/relationships/image" Target="media/image437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image" Target="media/image372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8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9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theme" Target="theme/theme1.xm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6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32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7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3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8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79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hyperlink" Target="consultantplus://offline/ref=01B6F67184E077630D37875A64F05E22E4996A8519722A3207214A8A3A624E7419DF5C00B68D1E01B5ZDL" TargetMode="External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6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8195</Words>
  <Characters>46716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2020-12-22T07:19:00Z</cp:lastPrinted>
  <dcterms:created xsi:type="dcterms:W3CDTF">2020-12-22T06:26:00Z</dcterms:created>
  <dcterms:modified xsi:type="dcterms:W3CDTF">2021-03-23T07:09:00Z</dcterms:modified>
</cp:coreProperties>
</file>